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DEB9C2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E965D3">
        <w:rPr>
          <w:rFonts w:eastAsia="Times New Roman"/>
          <w:b/>
          <w:noProof/>
          <w:sz w:val="24"/>
        </w:rPr>
        <w:t>3</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w:t>
      </w:r>
      <w:r w:rsidR="005F3511">
        <w:rPr>
          <w:rFonts w:eastAsia="Times New Roman"/>
          <w:b/>
          <w:noProof/>
          <w:sz w:val="24"/>
        </w:rPr>
        <w:t>10029</w:t>
      </w:r>
      <w:bookmarkStart w:id="4" w:name="_GoBack"/>
      <w:bookmarkEnd w:id="4"/>
    </w:p>
    <w:p w14:paraId="38445688" w14:textId="6828D07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965D3">
        <w:rPr>
          <w:rFonts w:eastAsia="SimSun"/>
          <w:bCs w:val="0"/>
          <w:sz w:val="24"/>
          <w:lang w:eastAsia="zh-CN"/>
        </w:rPr>
        <w:t>9 - 20</w:t>
      </w:r>
      <w:r w:rsidR="00802731">
        <w:rPr>
          <w:rFonts w:eastAsia="SimSun"/>
          <w:bCs w:val="0"/>
          <w:sz w:val="24"/>
          <w:lang w:eastAsia="zh-CN"/>
        </w:rPr>
        <w:t xml:space="preserve"> </w:t>
      </w:r>
      <w:r w:rsidR="00E965D3">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5586DD6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8782E">
        <w:rPr>
          <w:rFonts w:ascii="Arial" w:hAnsi="Arial" w:cs="Arial"/>
          <w:sz w:val="22"/>
        </w:rPr>
        <w:t>eIAB testing case#6 intra node TAE</w:t>
      </w:r>
    </w:p>
    <w:p w14:paraId="0F34F3E0" w14:textId="50005C8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8782E">
        <w:rPr>
          <w:rFonts w:ascii="Arial" w:hAnsi="Arial" w:cs="Arial"/>
          <w:sz w:val="22"/>
        </w:rPr>
        <w:t>9.17</w:t>
      </w:r>
      <w:r w:rsidR="00E965D3">
        <w:rPr>
          <w:rFonts w:ascii="Arial" w:hAnsi="Arial" w:cs="Arial"/>
          <w:sz w:val="22"/>
        </w:rPr>
        <w:t>.</w:t>
      </w:r>
      <w:r w:rsidR="0048782E">
        <w:rPr>
          <w:rFonts w:ascii="Arial" w:hAnsi="Arial" w:cs="Arial"/>
          <w:sz w:val="22"/>
        </w:rPr>
        <w:t>1</w:t>
      </w:r>
      <w:r w:rsidR="00E965D3">
        <w:rPr>
          <w:rFonts w:ascii="Arial" w:hAnsi="Arial" w:cs="Arial"/>
          <w:sz w:val="22"/>
        </w:rPr>
        <w:t>.</w:t>
      </w:r>
      <w:r w:rsidR="00D976E3">
        <w:rPr>
          <w:rFonts w:ascii="Arial" w:hAnsi="Arial" w:cs="Arial"/>
          <w:sz w:val="22"/>
        </w:rPr>
        <w:t>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72E6C350" w14:textId="52582906" w:rsidR="00E965D3" w:rsidRDefault="00FB05ED" w:rsidP="00214F09">
      <w:pPr>
        <w:rPr>
          <w:lang w:eastAsia="zh-CN"/>
        </w:rPr>
      </w:pPr>
      <w:r>
        <w:rPr>
          <w:lang w:eastAsia="zh-CN"/>
        </w:rPr>
        <w:t xml:space="preserve">In the last meeting the core issue of the </w:t>
      </w:r>
      <w:r w:rsidRPr="00FB05ED">
        <w:rPr>
          <w:lang w:eastAsia="zh-CN"/>
        </w:rPr>
        <w:t>Timing error between intra-node MT TX and DU TX for case#6</w:t>
      </w:r>
      <w:r>
        <w:rPr>
          <w:lang w:eastAsia="zh-CN"/>
        </w:rPr>
        <w:t xml:space="preserve"> was resolved, there were still some concerns about the requirement conformance testing when introducing the core. Compromise was reached and it was agreed to further discuss conformance testing in the conformance phase. </w:t>
      </w:r>
    </w:p>
    <w:p w14:paraId="53B2B7E3" w14:textId="7F38EA27" w:rsidR="00FB05ED" w:rsidRDefault="00FB05ED" w:rsidP="00214F09">
      <w:pPr>
        <w:rPr>
          <w:lang w:eastAsia="zh-CN"/>
        </w:rPr>
      </w:pPr>
      <w:r>
        <w:rPr>
          <w:lang w:eastAsia="zh-CN"/>
        </w:rPr>
        <w:t>As the core is complete we now further discuss the conformance testing of this requirement.</w:t>
      </w:r>
    </w:p>
    <w:p w14:paraId="026158DF" w14:textId="0BE41561" w:rsidR="00975261" w:rsidRDefault="00975261" w:rsidP="00F83302">
      <w:pPr>
        <w:pStyle w:val="Heading1"/>
        <w:numPr>
          <w:ilvl w:val="0"/>
          <w:numId w:val="2"/>
        </w:numPr>
      </w:pPr>
      <w:r>
        <w:t>Discussion</w:t>
      </w:r>
    </w:p>
    <w:bookmarkEnd w:id="0"/>
    <w:bookmarkEnd w:id="1"/>
    <w:bookmarkEnd w:id="2"/>
    <w:bookmarkEnd w:id="3"/>
    <w:p w14:paraId="1B2A9BBB" w14:textId="36F05D28" w:rsidR="00FB05ED" w:rsidRDefault="00FB05ED" w:rsidP="00FB05ED">
      <w:pPr>
        <w:rPr>
          <w:lang w:eastAsia="sv-SE"/>
        </w:rPr>
      </w:pPr>
      <w:r>
        <w:rPr>
          <w:rFonts w:hint="eastAsia"/>
          <w:lang w:eastAsia="sv-SE"/>
        </w:rPr>
        <w:t>W</w:t>
      </w:r>
      <w:r>
        <w:rPr>
          <w:lang w:eastAsia="sv-SE"/>
        </w:rPr>
        <w:t>hen the core requirement was agreed the following was also agreed in the chairman’s notes:</w:t>
      </w:r>
    </w:p>
    <w:p w14:paraId="13277AA8" w14:textId="77777777" w:rsidR="00FB05ED" w:rsidRPr="003011A2" w:rsidRDefault="00FB05ED" w:rsidP="00FB05ED">
      <w:pPr>
        <w:spacing w:after="0"/>
        <w:ind w:leftChars="200" w:left="400"/>
        <w:rPr>
          <w:rFonts w:eastAsia="DengXian"/>
          <w:highlight w:val="green"/>
          <w:lang w:val="en-US" w:eastAsia="zh-CN"/>
        </w:rPr>
      </w:pPr>
      <w:r w:rsidRPr="003011A2">
        <w:rPr>
          <w:rFonts w:eastAsia="DengXian"/>
          <w:highlight w:val="green"/>
          <w:lang w:val="en-US" w:eastAsia="zh-CN"/>
        </w:rPr>
        <w:t>Agreement: Introducing this requirement into core specification</w:t>
      </w:r>
    </w:p>
    <w:p w14:paraId="6C993DE5" w14:textId="77777777" w:rsidR="00FB05ED" w:rsidRPr="003011A2" w:rsidRDefault="00FB05ED" w:rsidP="00FB05ED">
      <w:pPr>
        <w:pStyle w:val="ListParagraph"/>
        <w:numPr>
          <w:ilvl w:val="0"/>
          <w:numId w:val="29"/>
        </w:numPr>
        <w:spacing w:after="0"/>
        <w:ind w:leftChars="200" w:left="820" w:firstLineChars="0"/>
        <w:rPr>
          <w:rFonts w:eastAsia="DengXian"/>
          <w:highlight w:val="green"/>
        </w:rPr>
      </w:pPr>
      <w:r w:rsidRPr="003011A2">
        <w:rPr>
          <w:rFonts w:eastAsia="DengXian"/>
          <w:highlight w:val="green"/>
        </w:rPr>
        <w:t>Whether IAB need to pass corresponding conformance test cases if introduced pending on IAB declaration</w:t>
      </w:r>
    </w:p>
    <w:p w14:paraId="4DE8633E" w14:textId="77777777" w:rsidR="00FB05ED" w:rsidRPr="003011A2" w:rsidRDefault="00FB05ED" w:rsidP="00FB05ED">
      <w:pPr>
        <w:pStyle w:val="ListParagraph"/>
        <w:numPr>
          <w:ilvl w:val="0"/>
          <w:numId w:val="29"/>
        </w:numPr>
        <w:spacing w:after="0"/>
        <w:ind w:leftChars="200" w:left="820" w:firstLineChars="0"/>
        <w:rPr>
          <w:rFonts w:eastAsia="DengXian"/>
          <w:highlight w:val="green"/>
        </w:rPr>
      </w:pPr>
      <w:r w:rsidRPr="003011A2">
        <w:rPr>
          <w:rFonts w:eastAsia="DengXian"/>
          <w:highlight w:val="green"/>
        </w:rPr>
        <w:t>Further discuss the details of conformance test cases if introduced in conformance phase</w:t>
      </w:r>
    </w:p>
    <w:p w14:paraId="67340E79" w14:textId="77777777" w:rsidR="00FB05ED" w:rsidRPr="003011A2" w:rsidRDefault="00FB05ED" w:rsidP="00FB05ED">
      <w:pPr>
        <w:pStyle w:val="ListParagraph"/>
        <w:numPr>
          <w:ilvl w:val="1"/>
          <w:numId w:val="29"/>
        </w:numPr>
        <w:spacing w:after="0"/>
        <w:ind w:leftChars="410" w:left="1240" w:firstLineChars="0"/>
        <w:rPr>
          <w:rFonts w:eastAsia="DengXian"/>
          <w:highlight w:val="green"/>
        </w:rPr>
      </w:pPr>
      <w:r w:rsidRPr="003011A2">
        <w:rPr>
          <w:rFonts w:eastAsia="DengXian"/>
          <w:highlight w:val="green"/>
        </w:rPr>
        <w:t xml:space="preserve">It’s FFS whether conformance test cases needed or not considering test feasibility </w:t>
      </w:r>
    </w:p>
    <w:p w14:paraId="531C26B3" w14:textId="5D68A0AA" w:rsidR="00FB05ED" w:rsidRPr="003011A2" w:rsidRDefault="00FB05ED" w:rsidP="00FB05ED">
      <w:pPr>
        <w:pStyle w:val="ListParagraph"/>
        <w:numPr>
          <w:ilvl w:val="0"/>
          <w:numId w:val="29"/>
        </w:numPr>
        <w:spacing w:after="0"/>
        <w:ind w:leftChars="200" w:left="820" w:firstLineChars="0"/>
        <w:rPr>
          <w:rFonts w:eastAsiaTheme="minorEastAsia"/>
          <w:highlight w:val="green"/>
        </w:rPr>
      </w:pPr>
      <w:r w:rsidRPr="003011A2">
        <w:rPr>
          <w:rFonts w:eastAsia="DengXian"/>
          <w:highlight w:val="green"/>
        </w:rPr>
        <w:t xml:space="preserve">Note: Cell phase sync performance maybe relaxed by TAE. If relaxation not acceptable, RAN4 can further revisit the agreement. </w:t>
      </w:r>
    </w:p>
    <w:p w14:paraId="0EE21AB6" w14:textId="77777777" w:rsidR="00FB05ED" w:rsidRDefault="00FB05ED" w:rsidP="00FB05ED">
      <w:pPr>
        <w:rPr>
          <w:lang w:eastAsia="sv-SE"/>
        </w:rPr>
      </w:pPr>
    </w:p>
    <w:p w14:paraId="0EA64D4D" w14:textId="3770474A" w:rsidR="00FB05ED" w:rsidRDefault="00FB05ED" w:rsidP="00FB05ED">
      <w:pPr>
        <w:rPr>
          <w:lang w:eastAsia="sv-SE"/>
        </w:rPr>
      </w:pPr>
      <w:r>
        <w:rPr>
          <w:lang w:eastAsia="sv-SE"/>
        </w:rPr>
        <w:t xml:space="preserve">To test the timing between intra node IAB-MT and IAB-DU it is necessary to measure both signals at the same time and differentiate between them. </w:t>
      </w:r>
      <w:r w:rsidR="00DA247C">
        <w:rPr>
          <w:lang w:eastAsia="sv-SE"/>
        </w:rPr>
        <w:t>In practice different beams will be separated in space (SDM) pointing ta the appropriate node and the IAB will need sufficient beam forming and isolation to keep them separate. However in a test scenario this is very difficult and would require significant upgrades to OTA test facilities.</w:t>
      </w:r>
    </w:p>
    <w:p w14:paraId="6E482DCE" w14:textId="510AB8B6" w:rsidR="00DA247C" w:rsidRDefault="00DA247C" w:rsidP="00FB05ED">
      <w:pPr>
        <w:rPr>
          <w:lang w:eastAsia="sv-SE"/>
        </w:rPr>
      </w:pPr>
      <w:r>
        <w:rPr>
          <w:lang w:eastAsia="sv-SE"/>
        </w:rPr>
        <w:t>The chamber would require 2 calibrated OTA paths in different directions, generally anechoic chambers provide a single direction which is calibrated and used for testing, Different directions are tested by rotating the test object and using the same chamber path</w:t>
      </w:r>
    </w:p>
    <w:p w14:paraId="4E129554" w14:textId="77777777" w:rsidR="00DA247C" w:rsidRDefault="00DA247C" w:rsidP="00DA247C">
      <w:pPr>
        <w:jc w:val="center"/>
        <w:rPr>
          <w:lang w:eastAsia="sv-SE"/>
        </w:rPr>
      </w:pPr>
      <w:r w:rsidRPr="004565D4">
        <w:rPr>
          <w:noProof/>
          <w:lang w:val="en-US" w:eastAsia="zh-CN"/>
        </w:rPr>
        <w:drawing>
          <wp:inline distT="0" distB="0" distL="0" distR="0" wp14:anchorId="6D16B91F" wp14:editId="1BC8BDFE">
            <wp:extent cx="3269268" cy="1821180"/>
            <wp:effectExtent l="0" t="0" r="762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72649" cy="1823064"/>
                    </a:xfrm>
                    <a:prstGeom prst="rect">
                      <a:avLst/>
                    </a:prstGeom>
                    <a:noFill/>
                    <a:ln>
                      <a:noFill/>
                    </a:ln>
                  </pic:spPr>
                </pic:pic>
              </a:graphicData>
            </a:graphic>
          </wp:inline>
        </w:drawing>
      </w:r>
    </w:p>
    <w:p w14:paraId="39F7A8E2" w14:textId="77777777" w:rsidR="00DA247C" w:rsidRDefault="00DA247C" w:rsidP="00DA247C">
      <w:pPr>
        <w:jc w:val="center"/>
        <w:rPr>
          <w:lang w:eastAsia="sv-SE"/>
        </w:rPr>
      </w:pPr>
      <w:r>
        <w:rPr>
          <w:rFonts w:hint="eastAsia"/>
          <w:lang w:eastAsia="sv-SE"/>
        </w:rPr>
        <w:t>F</w:t>
      </w:r>
      <w:r>
        <w:rPr>
          <w:lang w:eastAsia="sv-SE"/>
        </w:rPr>
        <w:t>igure 1: Directional chamber used for TAE testing</w:t>
      </w:r>
    </w:p>
    <w:p w14:paraId="1E042FC2" w14:textId="4A64050E" w:rsidR="00DA247C" w:rsidRDefault="00DA247C" w:rsidP="00FB05ED">
      <w:pPr>
        <w:rPr>
          <w:lang w:eastAsia="sv-SE"/>
        </w:rPr>
      </w:pPr>
      <w:r>
        <w:rPr>
          <w:lang w:eastAsia="sv-SE"/>
        </w:rPr>
        <w:t>If an SDM mode were to be tested then a 2</w:t>
      </w:r>
      <w:r w:rsidRPr="00DA247C">
        <w:rPr>
          <w:vertAlign w:val="superscript"/>
          <w:lang w:eastAsia="sv-SE"/>
        </w:rPr>
        <w:t>nd</w:t>
      </w:r>
      <w:r>
        <w:rPr>
          <w:lang w:eastAsia="sv-SE"/>
        </w:rPr>
        <w:t xml:space="preserve"> path would be needed. In many chambers this might not be possible, specifically a CATR where a reflector is used it would be very difficult if not impossible.</w:t>
      </w:r>
    </w:p>
    <w:p w14:paraId="08C5649B" w14:textId="77777777" w:rsidR="00DA247C" w:rsidRDefault="00DA247C" w:rsidP="00DA247C">
      <w:pPr>
        <w:jc w:val="center"/>
        <w:rPr>
          <w:lang w:eastAsia="sv-SE"/>
        </w:rPr>
      </w:pPr>
      <w:r w:rsidRPr="00DD48C5">
        <w:rPr>
          <w:noProof/>
          <w:lang w:val="en-US" w:eastAsia="zh-CN"/>
        </w:rPr>
        <w:lastRenderedPageBreak/>
        <w:drawing>
          <wp:inline distT="0" distB="0" distL="0" distR="0" wp14:anchorId="092F4B6C" wp14:editId="766D35B7">
            <wp:extent cx="4166521" cy="22555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4471" cy="2259823"/>
                    </a:xfrm>
                    <a:prstGeom prst="rect">
                      <a:avLst/>
                    </a:prstGeom>
                    <a:noFill/>
                    <a:ln>
                      <a:noFill/>
                    </a:ln>
                  </pic:spPr>
                </pic:pic>
              </a:graphicData>
            </a:graphic>
          </wp:inline>
        </w:drawing>
      </w:r>
    </w:p>
    <w:p w14:paraId="17B155A5" w14:textId="77777777" w:rsidR="00DA247C" w:rsidRDefault="00DA247C" w:rsidP="00DA247C">
      <w:pPr>
        <w:jc w:val="center"/>
        <w:rPr>
          <w:lang w:eastAsia="sv-SE"/>
        </w:rPr>
      </w:pPr>
      <w:r>
        <w:rPr>
          <w:rFonts w:hint="eastAsia"/>
          <w:lang w:eastAsia="sv-SE"/>
        </w:rPr>
        <w:t>F</w:t>
      </w:r>
      <w:r>
        <w:rPr>
          <w:lang w:eastAsia="sv-SE"/>
        </w:rPr>
        <w:t>igure 2: Directional chamber for intra-node IAB-MT/IAN-DU TAE testing</w:t>
      </w:r>
    </w:p>
    <w:p w14:paraId="5F1020C1" w14:textId="1ED39DEE" w:rsidR="00DA247C" w:rsidRDefault="00DA247C" w:rsidP="00FB05ED">
      <w:pPr>
        <w:rPr>
          <w:lang w:eastAsia="sv-SE"/>
        </w:rPr>
      </w:pPr>
      <w:r>
        <w:rPr>
          <w:rFonts w:hint="eastAsia"/>
          <w:lang w:eastAsia="sv-SE"/>
        </w:rPr>
        <w:t>I</w:t>
      </w:r>
      <w:r>
        <w:rPr>
          <w:lang w:eastAsia="sv-SE"/>
        </w:rPr>
        <w:t>t is not therefore clear that it is possible to test the SDM mode case#6 with existing facilities.</w:t>
      </w:r>
    </w:p>
    <w:p w14:paraId="1FA3A05A" w14:textId="1DAC740A" w:rsidR="00DA247C" w:rsidRDefault="00DA247C" w:rsidP="00FB05ED">
      <w:pPr>
        <w:rPr>
          <w:lang w:eastAsia="sv-SE"/>
        </w:rPr>
      </w:pPr>
      <w:r w:rsidRPr="00DA247C">
        <w:rPr>
          <w:b/>
          <w:lang w:eastAsia="sv-SE"/>
        </w:rPr>
        <w:t xml:space="preserve">Observation 1: </w:t>
      </w:r>
      <w:r>
        <w:rPr>
          <w:lang w:eastAsia="sv-SE"/>
        </w:rPr>
        <w:t>It is not possible to test SDM modes and case#6 timing in the existing OTA chambers</w:t>
      </w:r>
    </w:p>
    <w:p w14:paraId="46AF688B" w14:textId="2C41B995" w:rsidR="00DA247C" w:rsidRDefault="00DA247C" w:rsidP="00FB05ED">
      <w:pPr>
        <w:rPr>
          <w:lang w:eastAsia="sv-SE"/>
        </w:rPr>
      </w:pPr>
      <w:r>
        <w:rPr>
          <w:lang w:eastAsia="sv-SE"/>
        </w:rPr>
        <w:t>We should therefore consider if the requirement needs to be tested or if it can be tested one path at a time.</w:t>
      </w:r>
    </w:p>
    <w:p w14:paraId="6F78E3E0" w14:textId="0EDC1860" w:rsidR="00DA247C" w:rsidRPr="00DA247C" w:rsidRDefault="00DA247C" w:rsidP="00FB05ED">
      <w:pPr>
        <w:rPr>
          <w:lang w:eastAsia="sv-SE"/>
        </w:rPr>
      </w:pPr>
      <w:r>
        <w:rPr>
          <w:rFonts w:hint="eastAsia"/>
          <w:lang w:eastAsia="sv-SE"/>
        </w:rPr>
        <w:t>G</w:t>
      </w:r>
      <w:r>
        <w:rPr>
          <w:lang w:eastAsia="sv-SE"/>
        </w:rPr>
        <w:t>iven that the test is extremely challenging we should consider what is to be gained by the test. If the normal RF TAE is tested separately for each mode it is very unlikely that the RF parts of the BS will vary. We have always seen the risk of this particular requirement being and issue as very small. As such we think if the TAE test is passed then it is not necessary to test the case#6 timing separately.</w:t>
      </w:r>
    </w:p>
    <w:p w14:paraId="7D6339DE" w14:textId="5C2B5CFD" w:rsidR="00FB05ED" w:rsidRDefault="00FB05ED" w:rsidP="00FB05ED">
      <w:pPr>
        <w:rPr>
          <w:lang w:eastAsia="sv-SE"/>
        </w:rPr>
      </w:pPr>
      <w:r>
        <w:rPr>
          <w:rFonts w:hint="eastAsia"/>
          <w:lang w:eastAsia="sv-SE"/>
        </w:rPr>
        <w:t>I</w:t>
      </w:r>
      <w:r>
        <w:rPr>
          <w:lang w:eastAsia="sv-SE"/>
        </w:rPr>
        <w:t xml:space="preserve">n terms of RF requirements we believe that any delay through the radio will be consistent and that the existing TAE requirement adequately measure this delay. For intra nod case#6 timing any potential variation over the normal RF TAE requirement will be to BB which will not be captured in RF testing anyway. The RF test is </w:t>
      </w:r>
      <w:r w:rsidR="00DA247C">
        <w:rPr>
          <w:lang w:eastAsia="sv-SE"/>
        </w:rPr>
        <w:t>generally</w:t>
      </w:r>
      <w:r>
        <w:rPr>
          <w:lang w:eastAsia="sv-SE"/>
        </w:rPr>
        <w:t xml:space="preserve"> not used to check BB alignment.</w:t>
      </w:r>
    </w:p>
    <w:p w14:paraId="6192AAA2" w14:textId="1EEDE965" w:rsidR="00FB05ED" w:rsidRDefault="00DA247C" w:rsidP="00FB05ED">
      <w:pPr>
        <w:rPr>
          <w:lang w:eastAsia="sv-SE"/>
        </w:rPr>
      </w:pPr>
      <w:r w:rsidRPr="00AF670F">
        <w:rPr>
          <w:rFonts w:hint="eastAsia"/>
          <w:b/>
          <w:lang w:eastAsia="sv-SE"/>
        </w:rPr>
        <w:t>P</w:t>
      </w:r>
      <w:r w:rsidRPr="00AF670F">
        <w:rPr>
          <w:b/>
          <w:lang w:eastAsia="sv-SE"/>
        </w:rPr>
        <w:t>roposal 1:</w:t>
      </w:r>
      <w:r>
        <w:rPr>
          <w:lang w:eastAsia="sv-SE"/>
        </w:rPr>
        <w:t xml:space="preserve"> No need to test case’6 timing, passing RF TAE infers the RF part is </w:t>
      </w:r>
      <w:r w:rsidR="00AF670F">
        <w:rPr>
          <w:lang w:eastAsia="sv-SE"/>
        </w:rPr>
        <w:t>compliant is acceptable.</w:t>
      </w:r>
    </w:p>
    <w:p w14:paraId="0417C504" w14:textId="646C9D9F" w:rsidR="00AF670F" w:rsidRDefault="00AF670F" w:rsidP="00FB05ED">
      <w:pPr>
        <w:rPr>
          <w:lang w:eastAsia="sv-SE"/>
        </w:rPr>
      </w:pPr>
      <w:r>
        <w:rPr>
          <w:lang w:eastAsia="sv-SE"/>
        </w:rPr>
        <w:t>Alternatively if it is thought that the time delay is different for the different IAB modes then the TAE for each could be measured and the difference between them calculated and checked against the case#6 timing requirement. As both should be referenced to a common timing signal this would allow an estimate of case #6 timing without requiring 2 paths through the OTA chamber.</w:t>
      </w:r>
    </w:p>
    <w:p w14:paraId="3F74BE36" w14:textId="4E0C89FE" w:rsidR="00AF670F" w:rsidRDefault="00AF670F" w:rsidP="00FB05ED">
      <w:pPr>
        <w:rPr>
          <w:lang w:eastAsia="sv-SE"/>
        </w:rPr>
      </w:pPr>
      <w:r w:rsidRPr="00AF670F">
        <w:rPr>
          <w:b/>
          <w:lang w:eastAsia="sv-SE"/>
        </w:rPr>
        <w:t>Observation 2:</w:t>
      </w:r>
      <w:r>
        <w:rPr>
          <w:lang w:eastAsia="sv-SE"/>
        </w:rPr>
        <w:t xml:space="preserve"> Alternatively measure eth TAE of the 2 modes separately and calculate the difference between them.</w:t>
      </w:r>
    </w:p>
    <w:p w14:paraId="7A9B05B7" w14:textId="4CA51286" w:rsidR="00341F88" w:rsidRDefault="00FB05ED" w:rsidP="00341F88">
      <w:pPr>
        <w:pStyle w:val="Heading1"/>
        <w:rPr>
          <w:lang w:eastAsia="sv-SE"/>
        </w:rPr>
      </w:pPr>
      <w:r>
        <w:rPr>
          <w:lang w:eastAsia="sv-SE"/>
        </w:rPr>
        <w:t>3</w:t>
      </w:r>
      <w:r>
        <w:rPr>
          <w:lang w:eastAsia="sv-SE"/>
        </w:rPr>
        <w:tab/>
      </w:r>
      <w:r w:rsidR="00DF769E">
        <w:rPr>
          <w:lang w:eastAsia="sv-SE"/>
        </w:rPr>
        <w:t>S</w:t>
      </w:r>
      <w:r w:rsidR="00341F88">
        <w:rPr>
          <w:lang w:eastAsia="sv-SE"/>
        </w:rPr>
        <w:t>ummary</w:t>
      </w:r>
    </w:p>
    <w:p w14:paraId="46C74F51" w14:textId="04E5487C" w:rsidR="00AF670F" w:rsidRPr="00AF670F" w:rsidRDefault="00AF670F" w:rsidP="00AF670F">
      <w:pPr>
        <w:rPr>
          <w:lang w:eastAsia="sv-SE"/>
        </w:rPr>
      </w:pPr>
      <w:r w:rsidRPr="00AF670F">
        <w:rPr>
          <w:rFonts w:hint="eastAsia"/>
          <w:lang w:eastAsia="sv-SE"/>
        </w:rPr>
        <w:t>B</w:t>
      </w:r>
      <w:r w:rsidRPr="00AF670F">
        <w:rPr>
          <w:lang w:eastAsia="sv-SE"/>
        </w:rPr>
        <w:t>ased o</w:t>
      </w:r>
      <w:r>
        <w:rPr>
          <w:lang w:eastAsia="sv-SE"/>
        </w:rPr>
        <w:t>n</w:t>
      </w:r>
      <w:r w:rsidRPr="00AF670F">
        <w:rPr>
          <w:lang w:eastAsia="sv-SE"/>
        </w:rPr>
        <w:t xml:space="preserve"> the agreement last meeting on case’#6 timing testing we make the following observations and proposals:</w:t>
      </w:r>
    </w:p>
    <w:p w14:paraId="4C3CED9A" w14:textId="77777777" w:rsidR="00AF670F" w:rsidRDefault="00AF670F" w:rsidP="00AF670F">
      <w:pPr>
        <w:ind w:leftChars="100" w:left="200"/>
        <w:rPr>
          <w:lang w:eastAsia="sv-SE"/>
        </w:rPr>
      </w:pPr>
      <w:r w:rsidRPr="00DA247C">
        <w:rPr>
          <w:b/>
          <w:lang w:eastAsia="sv-SE"/>
        </w:rPr>
        <w:t xml:space="preserve">Observation 1: </w:t>
      </w:r>
      <w:r>
        <w:rPr>
          <w:lang w:eastAsia="sv-SE"/>
        </w:rPr>
        <w:t>It is not possible to test SDM modes and case#6 timing in the existing OTA chambers</w:t>
      </w:r>
    </w:p>
    <w:p w14:paraId="6EA36829" w14:textId="77777777" w:rsidR="00AF670F" w:rsidRDefault="00AF670F" w:rsidP="00AF670F">
      <w:pPr>
        <w:ind w:leftChars="100" w:left="200"/>
        <w:rPr>
          <w:lang w:eastAsia="sv-SE"/>
        </w:rPr>
      </w:pPr>
      <w:r w:rsidRPr="00AF670F">
        <w:rPr>
          <w:rFonts w:hint="eastAsia"/>
          <w:b/>
          <w:lang w:eastAsia="sv-SE"/>
        </w:rPr>
        <w:t>P</w:t>
      </w:r>
      <w:r w:rsidRPr="00AF670F">
        <w:rPr>
          <w:b/>
          <w:lang w:eastAsia="sv-SE"/>
        </w:rPr>
        <w:t>roposal 1:</w:t>
      </w:r>
      <w:r>
        <w:rPr>
          <w:lang w:eastAsia="sv-SE"/>
        </w:rPr>
        <w:t xml:space="preserve"> No need to test case’6 timing, passing RF TAE infers the RF part is compliant is acceptable.</w:t>
      </w:r>
    </w:p>
    <w:p w14:paraId="6363C0B8" w14:textId="77777777" w:rsidR="00AF670F" w:rsidRDefault="00AF670F" w:rsidP="00AF670F">
      <w:pPr>
        <w:ind w:leftChars="100" w:left="200"/>
        <w:rPr>
          <w:lang w:eastAsia="sv-SE"/>
        </w:rPr>
      </w:pPr>
      <w:r w:rsidRPr="00AF670F">
        <w:rPr>
          <w:b/>
          <w:lang w:eastAsia="sv-SE"/>
        </w:rPr>
        <w:t>Observation 2:</w:t>
      </w:r>
      <w:r>
        <w:rPr>
          <w:lang w:eastAsia="sv-SE"/>
        </w:rPr>
        <w:t xml:space="preserve"> Alternatively measure eth TAE of the 2 modes separately and calculate the difference between them.</w:t>
      </w:r>
    </w:p>
    <w:p w14:paraId="115A0980" w14:textId="5216B75B" w:rsidR="00515404" w:rsidRPr="00AF670F" w:rsidRDefault="00515404" w:rsidP="00683DED">
      <w:pPr>
        <w:rPr>
          <w:vertAlign w:val="subscript"/>
          <w:lang w:eastAsia="sv-SE"/>
        </w:rPr>
      </w:pPr>
    </w:p>
    <w:sectPr w:rsidR="00515404" w:rsidRPr="00AF670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6B815" w14:textId="77777777" w:rsidR="0033216D" w:rsidRDefault="0033216D">
      <w:r>
        <w:separator/>
      </w:r>
    </w:p>
  </w:endnote>
  <w:endnote w:type="continuationSeparator" w:id="0">
    <w:p w14:paraId="45EE381A" w14:textId="77777777" w:rsidR="0033216D" w:rsidRDefault="00332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D762EB" w:rsidRDefault="00D762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590A2" w14:textId="77777777" w:rsidR="0033216D" w:rsidRDefault="0033216D">
      <w:r>
        <w:separator/>
      </w:r>
    </w:p>
  </w:footnote>
  <w:footnote w:type="continuationSeparator" w:id="0">
    <w:p w14:paraId="7146106F" w14:textId="77777777" w:rsidR="0033216D" w:rsidRDefault="00332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D762EB" w:rsidRDefault="00D762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B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D762EB" w:rsidRDefault="00D762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1B68">
      <w:rPr>
        <w:rFonts w:ascii="Arial" w:hAnsi="Arial" w:cs="Arial"/>
        <w:b/>
        <w:noProof/>
        <w:sz w:val="18"/>
        <w:szCs w:val="18"/>
      </w:rPr>
      <w:t>1</w:t>
    </w:r>
    <w:r>
      <w:rPr>
        <w:rFonts w:ascii="Arial" w:hAnsi="Arial" w:cs="Arial"/>
        <w:b/>
        <w:sz w:val="18"/>
        <w:szCs w:val="18"/>
      </w:rPr>
      <w:fldChar w:fldCharType="end"/>
    </w:r>
  </w:p>
  <w:p w14:paraId="73BC3881" w14:textId="77777777" w:rsidR="00D762EB" w:rsidRDefault="00D762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B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D762EB" w:rsidRDefault="00D762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77F1F30"/>
    <w:multiLevelType w:val="hybridMultilevel"/>
    <w:tmpl w:val="950EC2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8"/>
  </w:num>
  <w:num w:numId="2">
    <w:abstractNumId w:val="4"/>
  </w:num>
  <w:num w:numId="3">
    <w:abstractNumId w:val="20"/>
  </w:num>
  <w:num w:numId="4">
    <w:abstractNumId w:val="27"/>
  </w:num>
  <w:num w:numId="5">
    <w:abstractNumId w:val="14"/>
  </w:num>
  <w:num w:numId="6">
    <w:abstractNumId w:val="10"/>
  </w:num>
  <w:num w:numId="7">
    <w:abstractNumId w:val="0"/>
  </w:num>
  <w:num w:numId="8">
    <w:abstractNumId w:val="1"/>
  </w:num>
  <w:num w:numId="9">
    <w:abstractNumId w:val="7"/>
  </w:num>
  <w:num w:numId="10">
    <w:abstractNumId w:val="28"/>
  </w:num>
  <w:num w:numId="11">
    <w:abstractNumId w:val="16"/>
  </w:num>
  <w:num w:numId="12">
    <w:abstractNumId w:val="9"/>
  </w:num>
  <w:num w:numId="13">
    <w:abstractNumId w:val="24"/>
  </w:num>
  <w:num w:numId="14">
    <w:abstractNumId w:val="5"/>
  </w:num>
  <w:num w:numId="15">
    <w:abstractNumId w:val="17"/>
  </w:num>
  <w:num w:numId="16">
    <w:abstractNumId w:val="23"/>
  </w:num>
  <w:num w:numId="17">
    <w:abstractNumId w:val="2"/>
  </w:num>
  <w:num w:numId="18">
    <w:abstractNumId w:val="26"/>
  </w:num>
  <w:num w:numId="19">
    <w:abstractNumId w:val="21"/>
  </w:num>
  <w:num w:numId="20">
    <w:abstractNumId w:val="13"/>
  </w:num>
  <w:num w:numId="21">
    <w:abstractNumId w:val="6"/>
  </w:num>
  <w:num w:numId="22">
    <w:abstractNumId w:val="12"/>
  </w:num>
  <w:num w:numId="23">
    <w:abstractNumId w:val="25"/>
  </w:num>
  <w:num w:numId="24">
    <w:abstractNumId w:val="3"/>
  </w:num>
  <w:num w:numId="25">
    <w:abstractNumId w:val="22"/>
  </w:num>
  <w:num w:numId="26">
    <w:abstractNumId w:val="11"/>
  </w:num>
  <w:num w:numId="27">
    <w:abstractNumId w:val="19"/>
  </w:num>
  <w:num w:numId="28">
    <w:abstractNumId w:val="8"/>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72C6"/>
    <w:rsid w:val="0033216D"/>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8782E"/>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5404"/>
    <w:rsid w:val="0051607E"/>
    <w:rsid w:val="0052056B"/>
    <w:rsid w:val="00521727"/>
    <w:rsid w:val="00521B68"/>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511"/>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4698"/>
    <w:rsid w:val="00646FD0"/>
    <w:rsid w:val="00647114"/>
    <w:rsid w:val="00650BB3"/>
    <w:rsid w:val="00651218"/>
    <w:rsid w:val="006559E0"/>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40F"/>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2C79"/>
    <w:rsid w:val="007E38E2"/>
    <w:rsid w:val="007E4CA1"/>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013C"/>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670F"/>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357"/>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80D"/>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976E3"/>
    <w:rsid w:val="00DA0403"/>
    <w:rsid w:val="00DA247C"/>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27F5F"/>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4BD"/>
    <w:rsid w:val="00F53E62"/>
    <w:rsid w:val="00F53EF8"/>
    <w:rsid w:val="00F570AB"/>
    <w:rsid w:val="00F62C82"/>
    <w:rsid w:val="00F64610"/>
    <w:rsid w:val="00F653B8"/>
    <w:rsid w:val="00F66259"/>
    <w:rsid w:val="00F67183"/>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05ED"/>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9979E-4CE0-4CF3-912F-4814CDB1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Huawei-RKy3</cp:lastModifiedBy>
  <cp:revision>3</cp:revision>
  <cp:lastPrinted>2019-02-25T13:05:00Z</cp:lastPrinted>
  <dcterms:created xsi:type="dcterms:W3CDTF">2022-04-25T19:15:00Z</dcterms:created>
  <dcterms:modified xsi:type="dcterms:W3CDTF">2022-04-25T19:15:00Z</dcterms:modified>
</cp:coreProperties>
</file>